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52CAD" w14:textId="4EF0E7E3" w:rsidR="00FB08EA" w:rsidRDefault="00FB08EA" w:rsidP="00EB72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GUIDELINES FOR INCUBATION SERVICE</w:t>
      </w:r>
      <w:r w:rsidR="008E270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26B">
        <w:rPr>
          <w:rFonts w:ascii="Times New Roman" w:hAnsi="Times New Roman" w:cs="Times New Roman"/>
          <w:b/>
          <w:sz w:val="24"/>
          <w:szCs w:val="24"/>
        </w:rPr>
        <w:t>@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284">
        <w:rPr>
          <w:rFonts w:ascii="Times New Roman" w:hAnsi="Times New Roman" w:cs="Times New Roman"/>
          <w:b/>
          <w:sz w:val="24"/>
          <w:szCs w:val="24"/>
        </w:rPr>
        <w:t>DFPOIE</w:t>
      </w:r>
      <w:r w:rsidR="00EB726B">
        <w:rPr>
          <w:rFonts w:ascii="Times New Roman" w:hAnsi="Times New Roman" w:cs="Times New Roman"/>
          <w:b/>
          <w:sz w:val="24"/>
          <w:szCs w:val="24"/>
        </w:rPr>
        <w:t>,</w:t>
      </w:r>
      <w:r w:rsidR="00270D40">
        <w:rPr>
          <w:rFonts w:ascii="Times New Roman" w:hAnsi="Times New Roman" w:cs="Times New Roman"/>
          <w:b/>
          <w:sz w:val="24"/>
          <w:szCs w:val="24"/>
        </w:rPr>
        <w:t xml:space="preserve"> NIFT</w:t>
      </w:r>
      <w:r w:rsidR="00EB726B">
        <w:rPr>
          <w:rFonts w:ascii="Times New Roman" w:hAnsi="Times New Roman" w:cs="Times New Roman"/>
          <w:b/>
          <w:sz w:val="24"/>
          <w:szCs w:val="24"/>
        </w:rPr>
        <w:t>E</w:t>
      </w:r>
      <w:r w:rsidR="00270D40">
        <w:rPr>
          <w:rFonts w:ascii="Times New Roman" w:hAnsi="Times New Roman" w:cs="Times New Roman"/>
          <w:b/>
          <w:sz w:val="24"/>
          <w:szCs w:val="24"/>
        </w:rPr>
        <w:t>M-T</w:t>
      </w:r>
    </w:p>
    <w:p w14:paraId="2D9C255B" w14:textId="77777777" w:rsidR="00FB08EA" w:rsidRDefault="00FB08EA" w:rsidP="00EB72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234894" w14:textId="1D345484" w:rsidR="00E73463" w:rsidRPr="00FB08EA" w:rsidRDefault="00E73463" w:rsidP="00EB72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08EA">
        <w:rPr>
          <w:rFonts w:ascii="Times New Roman" w:hAnsi="Times New Roman" w:cs="Times New Roman"/>
          <w:b/>
          <w:sz w:val="24"/>
          <w:szCs w:val="24"/>
        </w:rPr>
        <w:t xml:space="preserve">Functions of </w:t>
      </w:r>
      <w:r w:rsidR="00437284">
        <w:rPr>
          <w:rFonts w:ascii="Times New Roman" w:hAnsi="Times New Roman" w:cs="Times New Roman"/>
          <w:b/>
          <w:sz w:val="24"/>
          <w:szCs w:val="24"/>
        </w:rPr>
        <w:t>D</w:t>
      </w:r>
      <w:r w:rsidR="00437284" w:rsidRPr="00437284">
        <w:rPr>
          <w:rFonts w:ascii="Times New Roman" w:hAnsi="Times New Roman" w:cs="Times New Roman"/>
          <w:b/>
          <w:sz w:val="24"/>
          <w:szCs w:val="24"/>
        </w:rPr>
        <w:t>epartment of Food Plant Operations, Incubation and Entrepreneurship</w:t>
      </w:r>
    </w:p>
    <w:p w14:paraId="7FA44422" w14:textId="1127A866" w:rsidR="00E73463" w:rsidRPr="00FB08EA" w:rsidRDefault="00437284" w:rsidP="00EB726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Assists </w:t>
      </w:r>
      <w:proofErr w:type="spellStart"/>
      <w:r w:rsidR="00E73463" w:rsidRPr="00FB08EA">
        <w:rPr>
          <w:rFonts w:ascii="Times New Roman" w:hAnsi="Times New Roman" w:cs="Times New Roman"/>
          <w:sz w:val="24"/>
          <w:szCs w:val="24"/>
        </w:rPr>
        <w:t>incubatees</w:t>
      </w:r>
      <w:proofErr w:type="spellEnd"/>
      <w:r w:rsidR="00E73463" w:rsidRPr="00FB08EA">
        <w:rPr>
          <w:rFonts w:ascii="Times New Roman" w:hAnsi="Times New Roman" w:cs="Times New Roman"/>
          <w:sz w:val="24"/>
          <w:szCs w:val="24"/>
        </w:rPr>
        <w:t xml:space="preserve"> in creating a sustainable, scalable &amp; profitable business </w:t>
      </w:r>
      <w:r>
        <w:rPr>
          <w:rFonts w:ascii="Times New Roman" w:hAnsi="Times New Roman" w:cs="Times New Roman"/>
          <w:sz w:val="24"/>
          <w:szCs w:val="24"/>
        </w:rPr>
        <w:t>model</w:t>
      </w:r>
    </w:p>
    <w:p w14:paraId="5BD6BB8B" w14:textId="44DD8A5B" w:rsidR="00E73463" w:rsidRPr="00FB08EA" w:rsidRDefault="00E73463" w:rsidP="00EB726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8EA">
        <w:rPr>
          <w:rFonts w:ascii="Times New Roman" w:hAnsi="Times New Roman" w:cs="Times New Roman"/>
          <w:sz w:val="24"/>
          <w:szCs w:val="24"/>
        </w:rPr>
        <w:t xml:space="preserve">Provide physical infrastructure and value-added support </w:t>
      </w:r>
      <w:r w:rsidR="00437284">
        <w:rPr>
          <w:rFonts w:ascii="Times New Roman" w:hAnsi="Times New Roman" w:cs="Times New Roman"/>
          <w:sz w:val="24"/>
          <w:szCs w:val="24"/>
        </w:rPr>
        <w:t>services</w:t>
      </w:r>
    </w:p>
    <w:p w14:paraId="57E5B29D" w14:textId="3837F7F9" w:rsidR="00E73463" w:rsidRDefault="00E73463" w:rsidP="00EB726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8EA">
        <w:rPr>
          <w:rFonts w:ascii="Times New Roman" w:hAnsi="Times New Roman" w:cs="Times New Roman"/>
          <w:sz w:val="24"/>
          <w:szCs w:val="24"/>
        </w:rPr>
        <w:t xml:space="preserve">Create a strong network of mentors who would provide sector specific knowledge &amp; real world practical </w:t>
      </w:r>
      <w:r w:rsidR="000607BD" w:rsidRPr="00FB08EA">
        <w:rPr>
          <w:rFonts w:ascii="Times New Roman" w:hAnsi="Times New Roman" w:cs="Times New Roman"/>
          <w:sz w:val="24"/>
          <w:szCs w:val="24"/>
        </w:rPr>
        <w:t>guidance.</w:t>
      </w:r>
      <w:r w:rsidRPr="00FB08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242975" w14:textId="77777777" w:rsidR="00B97A82" w:rsidRPr="00FB08EA" w:rsidRDefault="00B97A82" w:rsidP="00EB72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9B785B7" w14:textId="0E5CB738" w:rsidR="00094709" w:rsidRPr="00FB08EA" w:rsidRDefault="00094709" w:rsidP="00EB72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08EA">
        <w:rPr>
          <w:rFonts w:ascii="Times New Roman" w:hAnsi="Times New Roman" w:cs="Times New Roman"/>
          <w:b/>
          <w:sz w:val="24"/>
          <w:szCs w:val="24"/>
        </w:rPr>
        <w:t>Services offered by incubation centre</w:t>
      </w:r>
    </w:p>
    <w:p w14:paraId="09F73287" w14:textId="621FEC0A" w:rsidR="00094709" w:rsidRPr="00FB08EA" w:rsidRDefault="000607BD" w:rsidP="00EB72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Rental facility for the various processing lines </w:t>
      </w:r>
    </w:p>
    <w:p w14:paraId="6B5A23FB" w14:textId="3F7234CE" w:rsidR="00094709" w:rsidRPr="00FB08EA" w:rsidRDefault="00094709" w:rsidP="00EB72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8EA">
        <w:rPr>
          <w:rFonts w:ascii="Times New Roman" w:hAnsi="Times New Roman" w:cs="Times New Roman"/>
          <w:sz w:val="24"/>
          <w:szCs w:val="24"/>
        </w:rPr>
        <w:t xml:space="preserve">Linkage with </w:t>
      </w:r>
      <w:r w:rsidR="00E73463" w:rsidRPr="00FB08EA">
        <w:rPr>
          <w:rFonts w:ascii="Times New Roman" w:hAnsi="Times New Roman" w:cs="Times New Roman"/>
          <w:sz w:val="24"/>
          <w:szCs w:val="24"/>
        </w:rPr>
        <w:t xml:space="preserve">Department of Technology Dissemination </w:t>
      </w:r>
    </w:p>
    <w:p w14:paraId="7C234433" w14:textId="62CC8B1F" w:rsidR="00094709" w:rsidRDefault="00094709" w:rsidP="00EB726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8EA">
        <w:rPr>
          <w:rFonts w:ascii="Times New Roman" w:hAnsi="Times New Roman" w:cs="Times New Roman"/>
          <w:sz w:val="24"/>
          <w:szCs w:val="24"/>
        </w:rPr>
        <w:t xml:space="preserve">Handholding, </w:t>
      </w:r>
      <w:r w:rsidR="00E73463" w:rsidRPr="00FB08EA">
        <w:rPr>
          <w:rFonts w:ascii="Times New Roman" w:hAnsi="Times New Roman" w:cs="Times New Roman"/>
          <w:sz w:val="24"/>
          <w:szCs w:val="24"/>
        </w:rPr>
        <w:t>m</w:t>
      </w:r>
      <w:r w:rsidRPr="00FB08EA">
        <w:rPr>
          <w:rFonts w:ascii="Times New Roman" w:hAnsi="Times New Roman" w:cs="Times New Roman"/>
          <w:sz w:val="24"/>
          <w:szCs w:val="24"/>
        </w:rPr>
        <w:t xml:space="preserve">entoring &amp; </w:t>
      </w:r>
      <w:r w:rsidR="000607BD" w:rsidRPr="00FB08EA">
        <w:rPr>
          <w:rFonts w:ascii="Times New Roman" w:hAnsi="Times New Roman" w:cs="Times New Roman"/>
          <w:sz w:val="24"/>
          <w:szCs w:val="24"/>
        </w:rPr>
        <w:t>networking.</w:t>
      </w:r>
    </w:p>
    <w:p w14:paraId="5E9ACAAC" w14:textId="77777777" w:rsidR="00B97A82" w:rsidRPr="00FB08EA" w:rsidRDefault="00B97A82" w:rsidP="00EB72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77FA416" w14:textId="1767E455" w:rsidR="008364BF" w:rsidRPr="00FB08EA" w:rsidRDefault="000607BD" w:rsidP="00EB72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Who are Eligible?</w:t>
      </w:r>
      <w:r w:rsidR="008364BF" w:rsidRPr="00FB08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8AC966" w14:textId="42411ECE" w:rsidR="00987FA6" w:rsidRDefault="000607BD" w:rsidP="00EB726B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Trainees of </w:t>
      </w:r>
      <w:r w:rsidR="00437284" w:rsidRPr="00437284">
        <w:rPr>
          <w:rFonts w:ascii="Times New Roman" w:hAnsi="Times New Roman" w:cs="Times New Roman"/>
          <w:sz w:val="24"/>
          <w:szCs w:val="24"/>
        </w:rPr>
        <w:t>DFPOIE</w:t>
      </w:r>
      <w:r w:rsidR="00437284" w:rsidRPr="00FB08EA">
        <w:rPr>
          <w:rFonts w:ascii="Times New Roman" w:hAnsi="Times New Roman" w:cs="Times New Roman"/>
          <w:sz w:val="24"/>
          <w:szCs w:val="24"/>
        </w:rPr>
        <w:t xml:space="preserve"> </w:t>
      </w:r>
      <w:r w:rsidR="008364BF" w:rsidRPr="00FB08EA">
        <w:rPr>
          <w:rFonts w:ascii="Times New Roman" w:hAnsi="Times New Roman" w:cs="Times New Roman"/>
          <w:sz w:val="24"/>
          <w:szCs w:val="24"/>
        </w:rPr>
        <w:t>(farmers, start-ups, entrepreneurs, registered company</w:t>
      </w:r>
      <w:r w:rsidR="00CC398F" w:rsidRPr="00401A03">
        <w:rPr>
          <w:rFonts w:ascii="Times New Roman" w:hAnsi="Times New Roman" w:cs="Times New Roman"/>
          <w:sz w:val="24"/>
          <w:szCs w:val="24"/>
        </w:rPr>
        <w:t>, etc.</w:t>
      </w:r>
      <w:r w:rsidR="008364BF" w:rsidRPr="00401A03">
        <w:rPr>
          <w:rFonts w:ascii="Times New Roman" w:hAnsi="Times New Roman" w:cs="Times New Roman"/>
          <w:sz w:val="24"/>
          <w:szCs w:val="24"/>
        </w:rPr>
        <w:t>)</w:t>
      </w:r>
      <w:r w:rsidRPr="00401A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who have completed executive training program of minimum 5 </w:t>
      </w:r>
      <w:r w:rsidR="00AB5F17">
        <w:rPr>
          <w:rFonts w:ascii="Times New Roman" w:hAnsi="Times New Roman" w:cs="Times New Roman"/>
          <w:sz w:val="24"/>
          <w:szCs w:val="24"/>
        </w:rPr>
        <w:t>days - eligible to avail the services for next 6 months starting from the completion of their training. User charges to be paid</w:t>
      </w:r>
      <w:r w:rsidR="00987FA6">
        <w:rPr>
          <w:rFonts w:ascii="Times New Roman" w:hAnsi="Times New Roman" w:cs="Times New Roman"/>
          <w:sz w:val="24"/>
          <w:szCs w:val="24"/>
        </w:rPr>
        <w:t>.</w:t>
      </w:r>
      <w:r w:rsidR="00987FA6" w:rsidRPr="00987FA6">
        <w:rPr>
          <w:rFonts w:ascii="Times New Roman" w:hAnsi="Times New Roman" w:cs="Times New Roman"/>
          <w:sz w:val="24"/>
          <w:szCs w:val="24"/>
        </w:rPr>
        <w:t xml:space="preserve"> </w:t>
      </w:r>
      <w:r w:rsidR="00987FA6">
        <w:rPr>
          <w:rFonts w:ascii="Times New Roman" w:hAnsi="Times New Roman" w:cs="Times New Roman"/>
          <w:sz w:val="24"/>
          <w:szCs w:val="24"/>
        </w:rPr>
        <w:t xml:space="preserve">After </w:t>
      </w:r>
      <w:r w:rsidR="00254050">
        <w:rPr>
          <w:rFonts w:ascii="Times New Roman" w:hAnsi="Times New Roman" w:cs="Times New Roman"/>
          <w:sz w:val="24"/>
          <w:szCs w:val="24"/>
        </w:rPr>
        <w:t>those six months</w:t>
      </w:r>
      <w:r w:rsidR="00987FA6">
        <w:rPr>
          <w:rFonts w:ascii="Times New Roman" w:hAnsi="Times New Roman" w:cs="Times New Roman"/>
          <w:sz w:val="24"/>
          <w:szCs w:val="24"/>
        </w:rPr>
        <w:t xml:space="preserve">, they need to pay the fee for renewal of </w:t>
      </w:r>
      <w:proofErr w:type="spellStart"/>
      <w:r w:rsidR="00987FA6">
        <w:rPr>
          <w:rFonts w:ascii="Times New Roman" w:hAnsi="Times New Roman" w:cs="Times New Roman"/>
          <w:sz w:val="24"/>
          <w:szCs w:val="24"/>
        </w:rPr>
        <w:t>incubatee</w:t>
      </w:r>
      <w:proofErr w:type="spellEnd"/>
      <w:r w:rsidR="00987FA6">
        <w:rPr>
          <w:rFonts w:ascii="Times New Roman" w:hAnsi="Times New Roman" w:cs="Times New Roman"/>
          <w:sz w:val="24"/>
          <w:szCs w:val="24"/>
        </w:rPr>
        <w:t xml:space="preserve"> registration fee also. </w:t>
      </w:r>
    </w:p>
    <w:p w14:paraId="19E08D02" w14:textId="3077357E" w:rsidR="008364BF" w:rsidRDefault="008364BF" w:rsidP="00EB726B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08EA">
        <w:rPr>
          <w:rFonts w:ascii="Times New Roman" w:hAnsi="Times New Roman" w:cs="Times New Roman"/>
          <w:sz w:val="24"/>
          <w:szCs w:val="24"/>
        </w:rPr>
        <w:t>Students and alumni start-up</w:t>
      </w:r>
      <w:r w:rsidR="00CC398F">
        <w:rPr>
          <w:rFonts w:ascii="Times New Roman" w:hAnsi="Times New Roman" w:cs="Times New Roman"/>
          <w:sz w:val="24"/>
          <w:szCs w:val="24"/>
        </w:rPr>
        <w:t xml:space="preserve"> (Company should be in the name of the student or alumni)</w:t>
      </w:r>
      <w:r w:rsidRPr="00FB08EA">
        <w:rPr>
          <w:rFonts w:ascii="Times New Roman" w:hAnsi="Times New Roman" w:cs="Times New Roman"/>
          <w:sz w:val="24"/>
          <w:szCs w:val="24"/>
        </w:rPr>
        <w:t xml:space="preserve"> of the NIFTEM-T</w:t>
      </w:r>
      <w:r w:rsidR="00AB5F17">
        <w:rPr>
          <w:rFonts w:ascii="Times New Roman" w:hAnsi="Times New Roman" w:cs="Times New Roman"/>
          <w:sz w:val="24"/>
          <w:szCs w:val="24"/>
        </w:rPr>
        <w:t xml:space="preserve"> </w:t>
      </w:r>
      <w:r w:rsidR="00B300A7">
        <w:rPr>
          <w:rFonts w:ascii="Times New Roman" w:hAnsi="Times New Roman" w:cs="Times New Roman"/>
          <w:sz w:val="24"/>
          <w:szCs w:val="24"/>
        </w:rPr>
        <w:t>can avail the services</w:t>
      </w:r>
      <w:r w:rsidR="00AB5F17">
        <w:rPr>
          <w:rFonts w:ascii="Times New Roman" w:hAnsi="Times New Roman" w:cs="Times New Roman"/>
          <w:sz w:val="24"/>
          <w:szCs w:val="24"/>
        </w:rPr>
        <w:t xml:space="preserve"> free of cost</w:t>
      </w:r>
      <w:r w:rsidR="008347A5">
        <w:rPr>
          <w:rFonts w:ascii="Times New Roman" w:hAnsi="Times New Roman" w:cs="Times New Roman"/>
          <w:sz w:val="24"/>
          <w:szCs w:val="24"/>
        </w:rPr>
        <w:t xml:space="preserve"> for first </w:t>
      </w:r>
      <w:r w:rsidR="005916F6">
        <w:rPr>
          <w:rFonts w:ascii="Times New Roman" w:hAnsi="Times New Roman" w:cs="Times New Roman"/>
          <w:sz w:val="24"/>
          <w:szCs w:val="24"/>
        </w:rPr>
        <w:t>one year</w:t>
      </w:r>
      <w:r w:rsidRPr="00FB08EA">
        <w:rPr>
          <w:rFonts w:ascii="Times New Roman" w:hAnsi="Times New Roman" w:cs="Times New Roman"/>
          <w:sz w:val="24"/>
          <w:szCs w:val="24"/>
        </w:rPr>
        <w:tab/>
      </w:r>
    </w:p>
    <w:p w14:paraId="6C67BC2A" w14:textId="37F4D928" w:rsidR="00987FA6" w:rsidRPr="00FB08EA" w:rsidRDefault="00AB5F17" w:rsidP="00EB726B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08EA">
        <w:rPr>
          <w:rFonts w:ascii="Times New Roman" w:hAnsi="Times New Roman" w:cs="Times New Roman"/>
          <w:sz w:val="24"/>
          <w:szCs w:val="24"/>
        </w:rPr>
        <w:t>Other registered candidates of TOT services (Consultancy and Technology transfer</w:t>
      </w:r>
      <w:r>
        <w:rPr>
          <w:rFonts w:ascii="Times New Roman" w:hAnsi="Times New Roman" w:cs="Times New Roman"/>
          <w:sz w:val="24"/>
          <w:szCs w:val="24"/>
        </w:rPr>
        <w:t>) -</w:t>
      </w:r>
      <w:r w:rsidRPr="00AB5F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eligible to avail the services for 6 months starting from the completion of </w:t>
      </w:r>
      <w:r w:rsidR="00B300A7">
        <w:rPr>
          <w:rFonts w:ascii="Times New Roman" w:hAnsi="Times New Roman" w:cs="Times New Roman"/>
          <w:sz w:val="24"/>
          <w:szCs w:val="24"/>
        </w:rPr>
        <w:t xml:space="preserve">the above </w:t>
      </w:r>
      <w:proofErr w:type="spellStart"/>
      <w:r w:rsidR="00B300A7">
        <w:rPr>
          <w:rFonts w:ascii="Times New Roman" w:hAnsi="Times New Roman" w:cs="Times New Roman"/>
          <w:sz w:val="24"/>
          <w:szCs w:val="24"/>
        </w:rPr>
        <w:t>ToT</w:t>
      </w:r>
      <w:proofErr w:type="spellEnd"/>
      <w:r w:rsidR="00B300A7">
        <w:rPr>
          <w:rFonts w:ascii="Times New Roman" w:hAnsi="Times New Roman" w:cs="Times New Roman"/>
          <w:sz w:val="24"/>
          <w:szCs w:val="24"/>
        </w:rPr>
        <w:t xml:space="preserve"> services</w:t>
      </w:r>
      <w:r>
        <w:rPr>
          <w:rFonts w:ascii="Times New Roman" w:hAnsi="Times New Roman" w:cs="Times New Roman"/>
          <w:sz w:val="24"/>
          <w:szCs w:val="24"/>
        </w:rPr>
        <w:t>. User charges to be paid.</w:t>
      </w:r>
      <w:r w:rsidR="00987FA6" w:rsidRPr="00987FA6">
        <w:rPr>
          <w:rFonts w:ascii="Times New Roman" w:hAnsi="Times New Roman" w:cs="Times New Roman"/>
          <w:sz w:val="24"/>
          <w:szCs w:val="24"/>
        </w:rPr>
        <w:t xml:space="preserve"> </w:t>
      </w:r>
      <w:r w:rsidR="00987FA6">
        <w:rPr>
          <w:rFonts w:ascii="Times New Roman" w:hAnsi="Times New Roman" w:cs="Times New Roman"/>
          <w:sz w:val="24"/>
          <w:szCs w:val="24"/>
        </w:rPr>
        <w:t xml:space="preserve">After </w:t>
      </w:r>
      <w:r w:rsidR="00B300A7">
        <w:rPr>
          <w:rFonts w:ascii="Times New Roman" w:hAnsi="Times New Roman" w:cs="Times New Roman"/>
          <w:sz w:val="24"/>
          <w:szCs w:val="24"/>
        </w:rPr>
        <w:t xml:space="preserve">first </w:t>
      </w:r>
      <w:r w:rsidR="00747746">
        <w:rPr>
          <w:rFonts w:ascii="Times New Roman" w:hAnsi="Times New Roman" w:cs="Times New Roman"/>
          <w:sz w:val="24"/>
          <w:szCs w:val="24"/>
        </w:rPr>
        <w:t>six months</w:t>
      </w:r>
      <w:r w:rsidR="00987FA6">
        <w:rPr>
          <w:rFonts w:ascii="Times New Roman" w:hAnsi="Times New Roman" w:cs="Times New Roman"/>
          <w:sz w:val="24"/>
          <w:szCs w:val="24"/>
        </w:rPr>
        <w:t xml:space="preserve">, they need to pay the fee for renewal of </w:t>
      </w:r>
      <w:proofErr w:type="spellStart"/>
      <w:r w:rsidR="00987FA6">
        <w:rPr>
          <w:rFonts w:ascii="Times New Roman" w:hAnsi="Times New Roman" w:cs="Times New Roman"/>
          <w:sz w:val="24"/>
          <w:szCs w:val="24"/>
        </w:rPr>
        <w:t>incubatee</w:t>
      </w:r>
      <w:proofErr w:type="spellEnd"/>
      <w:r w:rsidR="00987FA6">
        <w:rPr>
          <w:rFonts w:ascii="Times New Roman" w:hAnsi="Times New Roman" w:cs="Times New Roman"/>
          <w:sz w:val="24"/>
          <w:szCs w:val="24"/>
        </w:rPr>
        <w:t xml:space="preserve"> registration fee also. </w:t>
      </w:r>
    </w:p>
    <w:p w14:paraId="264B8E51" w14:textId="473BA1AE" w:rsidR="006A6503" w:rsidRDefault="000607BD" w:rsidP="00EB726B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08EA">
        <w:rPr>
          <w:rFonts w:ascii="Times New Roman" w:hAnsi="Times New Roman" w:cs="Times New Roman"/>
          <w:sz w:val="24"/>
          <w:szCs w:val="24"/>
        </w:rPr>
        <w:t>Faculty/staffs from NIFTEM-T</w:t>
      </w:r>
      <w:r w:rsidR="006A6503">
        <w:rPr>
          <w:rFonts w:ascii="Times New Roman" w:hAnsi="Times New Roman" w:cs="Times New Roman"/>
          <w:sz w:val="24"/>
          <w:szCs w:val="24"/>
        </w:rPr>
        <w:t xml:space="preserve"> </w:t>
      </w:r>
      <w:r w:rsidR="00AB5F17">
        <w:rPr>
          <w:rFonts w:ascii="Times New Roman" w:hAnsi="Times New Roman" w:cs="Times New Roman"/>
          <w:sz w:val="24"/>
          <w:szCs w:val="24"/>
        </w:rPr>
        <w:t xml:space="preserve">– 50 % concession in user charges and </w:t>
      </w:r>
      <w:r w:rsidR="006A6503">
        <w:rPr>
          <w:rFonts w:ascii="Times New Roman" w:hAnsi="Times New Roman" w:cs="Times New Roman"/>
          <w:sz w:val="24"/>
          <w:szCs w:val="24"/>
        </w:rPr>
        <w:t>Rs. 1000/- as registration fee.</w:t>
      </w:r>
    </w:p>
    <w:p w14:paraId="125F47B2" w14:textId="0E43EC5C" w:rsidR="006250AD" w:rsidRDefault="008364BF" w:rsidP="00EB726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8EA">
        <w:rPr>
          <w:rFonts w:ascii="Times New Roman" w:hAnsi="Times New Roman" w:cs="Times New Roman"/>
          <w:sz w:val="24"/>
          <w:szCs w:val="24"/>
        </w:rPr>
        <w:t xml:space="preserve">Individual, Partnership Firm, Proprietorship firms, Farmer Producer </w:t>
      </w:r>
      <w:r w:rsidR="000607BD" w:rsidRPr="00FB08EA">
        <w:rPr>
          <w:rFonts w:ascii="Times New Roman" w:hAnsi="Times New Roman" w:cs="Times New Roman"/>
          <w:sz w:val="24"/>
          <w:szCs w:val="24"/>
        </w:rPr>
        <w:t>Organizations</w:t>
      </w:r>
      <w:r w:rsidRPr="00FB08EA">
        <w:rPr>
          <w:rFonts w:ascii="Times New Roman" w:hAnsi="Times New Roman" w:cs="Times New Roman"/>
          <w:sz w:val="24"/>
          <w:szCs w:val="24"/>
        </w:rPr>
        <w:t xml:space="preserve">, Self </w:t>
      </w:r>
    </w:p>
    <w:p w14:paraId="08368791" w14:textId="05E5B3AD" w:rsidR="008364BF" w:rsidRDefault="008364BF" w:rsidP="00EB726B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FB08EA">
        <w:rPr>
          <w:rFonts w:ascii="Times New Roman" w:hAnsi="Times New Roman" w:cs="Times New Roman"/>
          <w:sz w:val="24"/>
          <w:szCs w:val="24"/>
        </w:rPr>
        <w:t xml:space="preserve">Help Group, NGO, Cooperative, Private Limited </w:t>
      </w:r>
      <w:r w:rsidR="00987FA6" w:rsidRPr="00FB08EA">
        <w:rPr>
          <w:rFonts w:ascii="Times New Roman" w:hAnsi="Times New Roman" w:cs="Times New Roman"/>
          <w:sz w:val="24"/>
          <w:szCs w:val="24"/>
        </w:rPr>
        <w:t>Company.</w:t>
      </w:r>
      <w:r w:rsidR="00987FA6">
        <w:rPr>
          <w:rFonts w:ascii="Times New Roman" w:hAnsi="Times New Roman" w:cs="Times New Roman"/>
          <w:sz w:val="24"/>
          <w:szCs w:val="24"/>
        </w:rPr>
        <w:t xml:space="preserve"> </w:t>
      </w:r>
      <w:r w:rsidR="009B7B02">
        <w:rPr>
          <w:rFonts w:ascii="Times New Roman" w:hAnsi="Times New Roman" w:cs="Times New Roman"/>
          <w:sz w:val="24"/>
          <w:szCs w:val="24"/>
        </w:rPr>
        <w:t>–</w:t>
      </w:r>
      <w:r w:rsidR="00987FA6">
        <w:rPr>
          <w:rFonts w:ascii="Times New Roman" w:hAnsi="Times New Roman" w:cs="Times New Roman"/>
          <w:sz w:val="24"/>
          <w:szCs w:val="24"/>
        </w:rPr>
        <w:t xml:space="preserve"> </w:t>
      </w:r>
      <w:r w:rsidR="009B7B02">
        <w:rPr>
          <w:rFonts w:ascii="Times New Roman" w:hAnsi="Times New Roman" w:cs="Times New Roman"/>
          <w:sz w:val="24"/>
          <w:szCs w:val="24"/>
        </w:rPr>
        <w:t>Need to p</w:t>
      </w:r>
      <w:r w:rsidR="00987FA6">
        <w:rPr>
          <w:rFonts w:ascii="Times New Roman" w:hAnsi="Times New Roman" w:cs="Times New Roman"/>
          <w:sz w:val="24"/>
          <w:szCs w:val="24"/>
        </w:rPr>
        <w:t>ay the registration fee and user charges as specified.</w:t>
      </w:r>
      <w:r w:rsidR="009B7B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5F76F4" w14:textId="77777777" w:rsidR="008364BF" w:rsidRPr="00FB08EA" w:rsidRDefault="008364BF" w:rsidP="00EB726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08EA">
        <w:rPr>
          <w:rFonts w:ascii="Times New Roman" w:hAnsi="Times New Roman" w:cs="Times New Roman"/>
          <w:sz w:val="24"/>
          <w:szCs w:val="24"/>
        </w:rPr>
        <w:t>The applicant should be Above 18 Years, with no minimum educational qualification.</w:t>
      </w:r>
    </w:p>
    <w:p w14:paraId="4F593AA1" w14:textId="55B5AF70" w:rsidR="000607BD" w:rsidRDefault="000607BD" w:rsidP="00EB726B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7ED955" w14:textId="4E432A10" w:rsidR="00094709" w:rsidRPr="00FB08EA" w:rsidRDefault="00094709" w:rsidP="00EB72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08EA">
        <w:rPr>
          <w:rFonts w:ascii="Times New Roman" w:hAnsi="Times New Roman" w:cs="Times New Roman"/>
          <w:sz w:val="24"/>
          <w:szCs w:val="24"/>
        </w:rPr>
        <w:t>Before signing the agreement with NIFTEM-T, companies/ persons registering will have to submit following documents:</w:t>
      </w:r>
    </w:p>
    <w:p w14:paraId="5407F618" w14:textId="5DAA70D7" w:rsidR="00987FA6" w:rsidRDefault="00987FA6" w:rsidP="00EB726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Duly signed registration form with all </w:t>
      </w:r>
      <w:r w:rsidR="008347A5">
        <w:rPr>
          <w:rFonts w:ascii="Times New Roman" w:hAnsi="Times New Roman" w:cs="Times New Roman"/>
          <w:sz w:val="24"/>
          <w:szCs w:val="24"/>
        </w:rPr>
        <w:t xml:space="preserve">required documents </w:t>
      </w:r>
      <w:r w:rsidR="00254050">
        <w:rPr>
          <w:rFonts w:ascii="Times New Roman" w:hAnsi="Times New Roman" w:cs="Times New Roman"/>
          <w:sz w:val="24"/>
          <w:szCs w:val="24"/>
        </w:rPr>
        <w:t>mentioned.</w:t>
      </w:r>
    </w:p>
    <w:p w14:paraId="1313223E" w14:textId="798DE7F1" w:rsidR="00094709" w:rsidRPr="00FB08EA" w:rsidRDefault="00094709" w:rsidP="00EB726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8EA">
        <w:rPr>
          <w:rFonts w:ascii="Times New Roman" w:hAnsi="Times New Roman" w:cs="Times New Roman"/>
          <w:sz w:val="24"/>
          <w:szCs w:val="24"/>
        </w:rPr>
        <w:t>Soft copy of th</w:t>
      </w:r>
      <w:bookmarkStart w:id="0" w:name="_GoBack"/>
      <w:bookmarkEnd w:id="0"/>
      <w:r w:rsidRPr="00FB08EA">
        <w:rPr>
          <w:rFonts w:ascii="Times New Roman" w:hAnsi="Times New Roman" w:cs="Times New Roman"/>
          <w:sz w:val="24"/>
          <w:szCs w:val="24"/>
        </w:rPr>
        <w:t>e passport size photo of all promoters</w:t>
      </w:r>
    </w:p>
    <w:p w14:paraId="60155B5F" w14:textId="57CE9A3D" w:rsidR="00094709" w:rsidRPr="00FB08EA" w:rsidRDefault="00094709" w:rsidP="00EB726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8EA">
        <w:rPr>
          <w:rFonts w:ascii="Times New Roman" w:hAnsi="Times New Roman" w:cs="Times New Roman"/>
          <w:sz w:val="24"/>
          <w:szCs w:val="24"/>
        </w:rPr>
        <w:t xml:space="preserve">ID Proof </w:t>
      </w:r>
      <w:r w:rsidR="008364BF" w:rsidRPr="00FB08EA">
        <w:rPr>
          <w:rFonts w:ascii="Times New Roman" w:hAnsi="Times New Roman" w:cs="Times New Roman"/>
          <w:sz w:val="24"/>
          <w:szCs w:val="24"/>
        </w:rPr>
        <w:t>of candidates</w:t>
      </w:r>
      <w:r w:rsidR="009B7B02">
        <w:rPr>
          <w:rFonts w:ascii="Times New Roman" w:hAnsi="Times New Roman" w:cs="Times New Roman"/>
          <w:sz w:val="24"/>
          <w:szCs w:val="24"/>
        </w:rPr>
        <w:t xml:space="preserve"> (</w:t>
      </w:r>
      <w:r w:rsidR="00F771D8">
        <w:rPr>
          <w:rFonts w:ascii="Times New Roman" w:hAnsi="Times New Roman" w:cs="Times New Roman"/>
          <w:sz w:val="24"/>
          <w:szCs w:val="24"/>
        </w:rPr>
        <w:t xml:space="preserve">preferably </w:t>
      </w:r>
      <w:proofErr w:type="spellStart"/>
      <w:r w:rsidR="009B7B02">
        <w:rPr>
          <w:rFonts w:ascii="Times New Roman" w:hAnsi="Times New Roman" w:cs="Times New Roman"/>
          <w:sz w:val="24"/>
          <w:szCs w:val="24"/>
        </w:rPr>
        <w:t>Aadhar</w:t>
      </w:r>
      <w:proofErr w:type="spellEnd"/>
      <w:r w:rsidR="009B7B02">
        <w:rPr>
          <w:rFonts w:ascii="Times New Roman" w:hAnsi="Times New Roman" w:cs="Times New Roman"/>
          <w:sz w:val="24"/>
          <w:szCs w:val="24"/>
        </w:rPr>
        <w:t>)</w:t>
      </w:r>
    </w:p>
    <w:p w14:paraId="12EF41F5" w14:textId="3460E16A" w:rsidR="00094709" w:rsidRDefault="00094709" w:rsidP="00EB726B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B08EA">
        <w:rPr>
          <w:rFonts w:ascii="Times New Roman" w:hAnsi="Times New Roman" w:cs="Times New Roman"/>
          <w:sz w:val="24"/>
          <w:szCs w:val="24"/>
        </w:rPr>
        <w:t xml:space="preserve">Company Incorporation Certificate (to be submitted within 1 month of registering at </w:t>
      </w:r>
      <w:r w:rsidR="008364BF" w:rsidRPr="00FB08EA">
        <w:rPr>
          <w:rFonts w:ascii="Times New Roman" w:hAnsi="Times New Roman" w:cs="Times New Roman"/>
          <w:sz w:val="24"/>
          <w:szCs w:val="24"/>
        </w:rPr>
        <w:t>NIFTEM-T</w:t>
      </w:r>
      <w:r w:rsidRPr="00FB08EA">
        <w:rPr>
          <w:rFonts w:ascii="Times New Roman" w:hAnsi="Times New Roman" w:cs="Times New Roman"/>
          <w:sz w:val="24"/>
          <w:szCs w:val="24"/>
        </w:rPr>
        <w:t>)</w:t>
      </w:r>
    </w:p>
    <w:p w14:paraId="03B478D4" w14:textId="77777777" w:rsidR="00EB726B" w:rsidRDefault="00EB726B" w:rsidP="00EB726B">
      <w:pPr>
        <w:pStyle w:val="ListParagraph"/>
        <w:spacing w:after="0"/>
        <w:ind w:left="1140"/>
        <w:rPr>
          <w:rFonts w:ascii="Times New Roman" w:hAnsi="Times New Roman" w:cs="Times New Roman"/>
          <w:sz w:val="24"/>
          <w:szCs w:val="24"/>
        </w:rPr>
      </w:pPr>
    </w:p>
    <w:p w14:paraId="41C97405" w14:textId="6CF67AF5" w:rsidR="00A91A22" w:rsidRPr="009F42F8" w:rsidRDefault="00437284" w:rsidP="00EB726B">
      <w:pPr>
        <w:spacing w:after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i/>
        </w:rPr>
        <w:lastRenderedPageBreak/>
        <w:t>Fee structure</w:t>
      </w:r>
    </w:p>
    <w:tbl>
      <w:tblPr>
        <w:tblW w:w="49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4"/>
        <w:gridCol w:w="4720"/>
        <w:gridCol w:w="1817"/>
        <w:gridCol w:w="1639"/>
      </w:tblGrid>
      <w:tr w:rsidR="00A91A22" w:rsidRPr="009F42F8" w14:paraId="6C6893CD" w14:textId="77777777" w:rsidTr="00437284">
        <w:trPr>
          <w:trHeight w:val="543"/>
        </w:trPr>
        <w:tc>
          <w:tcPr>
            <w:tcW w:w="585" w:type="pct"/>
            <w:vAlign w:val="center"/>
          </w:tcPr>
          <w:p w14:paraId="6874B44A" w14:textId="77777777" w:rsidR="00A91A22" w:rsidRPr="009F42F8" w:rsidRDefault="00A91A22" w:rsidP="00EB726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9F42F8">
              <w:rPr>
                <w:rFonts w:ascii="Times New Roman" w:hAnsi="Times New Roman"/>
                <w:b/>
                <w:bCs/>
              </w:rPr>
              <w:t>Category</w:t>
            </w:r>
          </w:p>
        </w:tc>
        <w:tc>
          <w:tcPr>
            <w:tcW w:w="2549" w:type="pct"/>
            <w:vAlign w:val="center"/>
          </w:tcPr>
          <w:p w14:paraId="603557DE" w14:textId="77777777" w:rsidR="00A91A22" w:rsidRPr="009F42F8" w:rsidRDefault="00A91A22" w:rsidP="00EB726B">
            <w:pPr>
              <w:spacing w:after="0"/>
              <w:ind w:left="72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9F42F8">
              <w:rPr>
                <w:rFonts w:ascii="Times New Roman" w:hAnsi="Times New Roman"/>
                <w:b/>
                <w:bCs/>
              </w:rPr>
              <w:t>Eligible candidate</w:t>
            </w:r>
          </w:p>
        </w:tc>
        <w:tc>
          <w:tcPr>
            <w:tcW w:w="981" w:type="pct"/>
            <w:vAlign w:val="center"/>
          </w:tcPr>
          <w:p w14:paraId="7978C972" w14:textId="77777777" w:rsidR="00A91A22" w:rsidRPr="009F42F8" w:rsidRDefault="00A91A22" w:rsidP="00EB726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9F42F8">
              <w:rPr>
                <w:rFonts w:ascii="Times New Roman" w:hAnsi="Times New Roman"/>
                <w:b/>
                <w:bCs/>
              </w:rPr>
              <w:t>New beneficiary Registration Fee Rs.</w:t>
            </w:r>
          </w:p>
        </w:tc>
        <w:tc>
          <w:tcPr>
            <w:tcW w:w="885" w:type="pct"/>
            <w:vAlign w:val="center"/>
          </w:tcPr>
          <w:p w14:paraId="29D5068A" w14:textId="77777777" w:rsidR="00A91A22" w:rsidRPr="009F42F8" w:rsidRDefault="00A91A22" w:rsidP="00EB726B">
            <w:pPr>
              <w:spacing w:after="0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9F42F8">
              <w:rPr>
                <w:rFonts w:ascii="Times New Roman" w:hAnsi="Times New Roman"/>
                <w:b/>
                <w:bCs/>
              </w:rPr>
              <w:t>Renewal Fee after 6 months Rs.</w:t>
            </w:r>
          </w:p>
        </w:tc>
      </w:tr>
      <w:tr w:rsidR="00A91A22" w:rsidRPr="009F42F8" w14:paraId="1C1413C3" w14:textId="77777777" w:rsidTr="00437284">
        <w:trPr>
          <w:trHeight w:val="302"/>
        </w:trPr>
        <w:tc>
          <w:tcPr>
            <w:tcW w:w="585" w:type="pct"/>
          </w:tcPr>
          <w:p w14:paraId="02FB1E1B" w14:textId="77777777" w:rsidR="00A91A22" w:rsidRPr="009F42F8" w:rsidRDefault="00A91A22" w:rsidP="00EB726B">
            <w:pPr>
              <w:spacing w:after="0"/>
              <w:ind w:left="-257"/>
              <w:contextualSpacing/>
              <w:jc w:val="center"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A</w:t>
            </w:r>
          </w:p>
        </w:tc>
        <w:tc>
          <w:tcPr>
            <w:tcW w:w="2549" w:type="pct"/>
          </w:tcPr>
          <w:p w14:paraId="76BEA462" w14:textId="77777777" w:rsidR="00A91A22" w:rsidRPr="009F42F8" w:rsidRDefault="00A91A22" w:rsidP="00EB726B">
            <w:pPr>
              <w:spacing w:after="0"/>
              <w:contextualSpacing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Industries with Annual Turn Over &lt; Rs.12.00 lakhs</w:t>
            </w:r>
          </w:p>
        </w:tc>
        <w:tc>
          <w:tcPr>
            <w:tcW w:w="981" w:type="pct"/>
          </w:tcPr>
          <w:p w14:paraId="0AB534C0" w14:textId="77777777" w:rsidR="00A91A22" w:rsidRPr="009F42F8" w:rsidRDefault="00A91A22" w:rsidP="00EB726B">
            <w:pPr>
              <w:spacing w:after="0"/>
              <w:ind w:left="720"/>
              <w:contextualSpacing/>
              <w:jc w:val="right"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,</w:t>
            </w:r>
            <w:r w:rsidRPr="009F42F8">
              <w:rPr>
                <w:rFonts w:ascii="Times New Roman" w:hAnsi="Times New Roman"/>
              </w:rPr>
              <w:t xml:space="preserve">000.00 </w:t>
            </w:r>
          </w:p>
        </w:tc>
        <w:tc>
          <w:tcPr>
            <w:tcW w:w="885" w:type="pct"/>
          </w:tcPr>
          <w:p w14:paraId="64B55894" w14:textId="77777777" w:rsidR="00A91A22" w:rsidRPr="009F42F8" w:rsidRDefault="00A91A22" w:rsidP="00EB726B">
            <w:pPr>
              <w:spacing w:after="0"/>
              <w:ind w:left="265"/>
              <w:contextualSpacing/>
              <w:jc w:val="right"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,</w:t>
            </w:r>
            <w:r w:rsidRPr="009F42F8">
              <w:rPr>
                <w:rFonts w:ascii="Times New Roman" w:hAnsi="Times New Roman"/>
              </w:rPr>
              <w:t xml:space="preserve">000.00 </w:t>
            </w:r>
          </w:p>
        </w:tc>
      </w:tr>
      <w:tr w:rsidR="00A91A22" w:rsidRPr="009F42F8" w14:paraId="3563B956" w14:textId="77777777" w:rsidTr="00437284">
        <w:trPr>
          <w:trHeight w:val="815"/>
        </w:trPr>
        <w:tc>
          <w:tcPr>
            <w:tcW w:w="585" w:type="pct"/>
          </w:tcPr>
          <w:p w14:paraId="4946EC31" w14:textId="77777777" w:rsidR="00A91A22" w:rsidRPr="009F42F8" w:rsidRDefault="00A91A22" w:rsidP="00EB726B">
            <w:pPr>
              <w:spacing w:after="0"/>
              <w:ind w:left="-257"/>
              <w:contextualSpacing/>
              <w:jc w:val="center"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B</w:t>
            </w:r>
          </w:p>
        </w:tc>
        <w:tc>
          <w:tcPr>
            <w:tcW w:w="2549" w:type="pct"/>
          </w:tcPr>
          <w:p w14:paraId="40DFF129" w14:textId="77777777" w:rsidR="00A91A22" w:rsidRPr="009F42F8" w:rsidRDefault="00A91A22" w:rsidP="00EB726B">
            <w:pPr>
              <w:spacing w:after="0"/>
              <w:contextualSpacing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Industries with Annual Turn Over in between Rs.12.00 lakhs to Rs. 50.00 lakhs</w:t>
            </w:r>
          </w:p>
        </w:tc>
        <w:tc>
          <w:tcPr>
            <w:tcW w:w="981" w:type="pct"/>
          </w:tcPr>
          <w:p w14:paraId="6A33982B" w14:textId="77777777" w:rsidR="00A91A22" w:rsidRPr="009F42F8" w:rsidRDefault="00A91A22" w:rsidP="00EB726B">
            <w:pPr>
              <w:spacing w:after="0"/>
              <w:ind w:left="720"/>
              <w:contextualSpacing/>
              <w:jc w:val="right"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,</w:t>
            </w:r>
            <w:r w:rsidRPr="009F42F8">
              <w:rPr>
                <w:rFonts w:ascii="Times New Roman" w:hAnsi="Times New Roman"/>
              </w:rPr>
              <w:t xml:space="preserve">000.00 </w:t>
            </w:r>
          </w:p>
        </w:tc>
        <w:tc>
          <w:tcPr>
            <w:tcW w:w="885" w:type="pct"/>
          </w:tcPr>
          <w:p w14:paraId="5861A780" w14:textId="77777777" w:rsidR="00A91A22" w:rsidRPr="009F42F8" w:rsidRDefault="00A91A22" w:rsidP="00EB726B">
            <w:pPr>
              <w:spacing w:after="0"/>
              <w:ind w:left="265"/>
              <w:contextualSpacing/>
              <w:jc w:val="right"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,</w:t>
            </w:r>
            <w:r w:rsidRPr="009F42F8">
              <w:rPr>
                <w:rFonts w:ascii="Times New Roman" w:hAnsi="Times New Roman"/>
              </w:rPr>
              <w:t xml:space="preserve">000.00 </w:t>
            </w:r>
          </w:p>
        </w:tc>
      </w:tr>
      <w:tr w:rsidR="00A91A22" w:rsidRPr="009F42F8" w14:paraId="1E73C911" w14:textId="77777777" w:rsidTr="00437284">
        <w:trPr>
          <w:trHeight w:val="815"/>
        </w:trPr>
        <w:tc>
          <w:tcPr>
            <w:tcW w:w="585" w:type="pct"/>
          </w:tcPr>
          <w:p w14:paraId="4DC9D7EE" w14:textId="77777777" w:rsidR="00A91A22" w:rsidRPr="009F42F8" w:rsidRDefault="00A91A22" w:rsidP="00EB726B">
            <w:pPr>
              <w:spacing w:after="0"/>
              <w:ind w:left="-257"/>
              <w:contextualSpacing/>
              <w:jc w:val="center"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C</w:t>
            </w:r>
          </w:p>
        </w:tc>
        <w:tc>
          <w:tcPr>
            <w:tcW w:w="2549" w:type="pct"/>
          </w:tcPr>
          <w:p w14:paraId="536DAE6F" w14:textId="77777777" w:rsidR="00A91A22" w:rsidRPr="009F42F8" w:rsidRDefault="00A91A22" w:rsidP="00EB726B">
            <w:pPr>
              <w:spacing w:after="0"/>
              <w:contextualSpacing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Industries with Annual Turn Over&gt; Rs.50.00 lakhs</w:t>
            </w:r>
          </w:p>
        </w:tc>
        <w:tc>
          <w:tcPr>
            <w:tcW w:w="981" w:type="pct"/>
          </w:tcPr>
          <w:p w14:paraId="31C9C486" w14:textId="77777777" w:rsidR="00A91A22" w:rsidRPr="009F42F8" w:rsidRDefault="00A91A22" w:rsidP="00EB726B">
            <w:pPr>
              <w:spacing w:after="0"/>
              <w:ind w:left="720"/>
              <w:contextualSpacing/>
              <w:jc w:val="right"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,</w:t>
            </w:r>
            <w:r w:rsidRPr="009F42F8">
              <w:rPr>
                <w:rFonts w:ascii="Times New Roman" w:hAnsi="Times New Roman"/>
              </w:rPr>
              <w:t>000.00</w:t>
            </w:r>
          </w:p>
        </w:tc>
        <w:tc>
          <w:tcPr>
            <w:tcW w:w="885" w:type="pct"/>
          </w:tcPr>
          <w:p w14:paraId="2485073F" w14:textId="77777777" w:rsidR="00A91A22" w:rsidRPr="009F42F8" w:rsidRDefault="00A91A22" w:rsidP="00EB726B">
            <w:pPr>
              <w:spacing w:after="0"/>
              <w:ind w:left="265"/>
              <w:contextualSpacing/>
              <w:jc w:val="right"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</w:t>
            </w:r>
            <w:r w:rsidRPr="009F42F8">
              <w:rPr>
                <w:rFonts w:ascii="Times New Roman" w:hAnsi="Times New Roman"/>
              </w:rPr>
              <w:t>00</w:t>
            </w:r>
            <w:r>
              <w:rPr>
                <w:rFonts w:ascii="Times New Roman" w:hAnsi="Times New Roman"/>
              </w:rPr>
              <w:t>,</w:t>
            </w:r>
            <w:r w:rsidRPr="009F42F8">
              <w:rPr>
                <w:rFonts w:ascii="Times New Roman" w:hAnsi="Times New Roman"/>
              </w:rPr>
              <w:t>000.00</w:t>
            </w:r>
          </w:p>
        </w:tc>
      </w:tr>
      <w:tr w:rsidR="00A91A22" w:rsidRPr="009F42F8" w14:paraId="52773F03" w14:textId="77777777" w:rsidTr="00437284">
        <w:trPr>
          <w:trHeight w:val="829"/>
        </w:trPr>
        <w:tc>
          <w:tcPr>
            <w:tcW w:w="585" w:type="pct"/>
          </w:tcPr>
          <w:p w14:paraId="5AF54819" w14:textId="77777777" w:rsidR="00A91A22" w:rsidRPr="009F42F8" w:rsidRDefault="00A91A22" w:rsidP="00EB726B">
            <w:pPr>
              <w:spacing w:after="0"/>
              <w:ind w:left="-257"/>
              <w:contextualSpacing/>
              <w:jc w:val="center"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D</w:t>
            </w:r>
          </w:p>
        </w:tc>
        <w:tc>
          <w:tcPr>
            <w:tcW w:w="2549" w:type="pct"/>
          </w:tcPr>
          <w:p w14:paraId="0EDBC665" w14:textId="77777777" w:rsidR="00A91A22" w:rsidRPr="009F42F8" w:rsidRDefault="00A91A22" w:rsidP="00EB726B">
            <w:pPr>
              <w:spacing w:after="0"/>
              <w:contextualSpacing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 xml:space="preserve">Farmer/ SHG/ </w:t>
            </w:r>
            <w:proofErr w:type="spellStart"/>
            <w:r w:rsidRPr="009F42F8">
              <w:rPr>
                <w:rFonts w:ascii="Times New Roman" w:hAnsi="Times New Roman"/>
              </w:rPr>
              <w:t>Transperson</w:t>
            </w:r>
            <w:proofErr w:type="spellEnd"/>
            <w:r w:rsidRPr="009F42F8">
              <w:rPr>
                <w:rFonts w:ascii="Times New Roman" w:hAnsi="Times New Roman"/>
              </w:rPr>
              <w:t>/ other minority groups</w:t>
            </w:r>
          </w:p>
        </w:tc>
        <w:tc>
          <w:tcPr>
            <w:tcW w:w="981" w:type="pct"/>
          </w:tcPr>
          <w:p w14:paraId="2056C5F8" w14:textId="77777777" w:rsidR="00A91A22" w:rsidRPr="009F42F8" w:rsidRDefault="00A91A22" w:rsidP="00EB726B">
            <w:pPr>
              <w:spacing w:after="0"/>
              <w:ind w:left="720"/>
              <w:contextualSpacing/>
              <w:jc w:val="right"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</w:t>
            </w:r>
            <w:r w:rsidRPr="009F42F8">
              <w:rPr>
                <w:rFonts w:ascii="Times New Roman" w:hAnsi="Times New Roman"/>
              </w:rPr>
              <w:t xml:space="preserve">000.00 </w:t>
            </w:r>
          </w:p>
        </w:tc>
        <w:tc>
          <w:tcPr>
            <w:tcW w:w="885" w:type="pct"/>
          </w:tcPr>
          <w:p w14:paraId="3BF57431" w14:textId="77777777" w:rsidR="00A91A22" w:rsidRPr="009F42F8" w:rsidRDefault="00A91A22" w:rsidP="00EB726B">
            <w:pPr>
              <w:spacing w:after="0"/>
              <w:ind w:left="265"/>
              <w:contextualSpacing/>
              <w:jc w:val="right"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,</w:t>
            </w:r>
            <w:r w:rsidRPr="009F42F8">
              <w:rPr>
                <w:rFonts w:ascii="Times New Roman" w:hAnsi="Times New Roman"/>
              </w:rPr>
              <w:t xml:space="preserve">000.00 </w:t>
            </w:r>
          </w:p>
        </w:tc>
      </w:tr>
      <w:tr w:rsidR="00A91A22" w:rsidRPr="009F42F8" w14:paraId="498FC016" w14:textId="77777777" w:rsidTr="00437284">
        <w:trPr>
          <w:trHeight w:val="64"/>
        </w:trPr>
        <w:tc>
          <w:tcPr>
            <w:tcW w:w="585" w:type="pct"/>
          </w:tcPr>
          <w:p w14:paraId="43B92D4E" w14:textId="77777777" w:rsidR="00A91A22" w:rsidRPr="009F42F8" w:rsidRDefault="00A91A22" w:rsidP="00EB726B">
            <w:pPr>
              <w:spacing w:after="0"/>
              <w:ind w:left="-257"/>
              <w:contextualSpacing/>
              <w:jc w:val="center"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E</w:t>
            </w:r>
          </w:p>
        </w:tc>
        <w:tc>
          <w:tcPr>
            <w:tcW w:w="2549" w:type="pct"/>
          </w:tcPr>
          <w:p w14:paraId="320BF3A9" w14:textId="77777777" w:rsidR="00A91A22" w:rsidRPr="009F42F8" w:rsidRDefault="00A91A22" w:rsidP="00EB726B">
            <w:pPr>
              <w:spacing w:after="0"/>
              <w:contextualSpacing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Regular in-service/ retired Staffs of NIFTEM-T</w:t>
            </w:r>
          </w:p>
        </w:tc>
        <w:tc>
          <w:tcPr>
            <w:tcW w:w="981" w:type="pct"/>
          </w:tcPr>
          <w:p w14:paraId="0F8F6A92" w14:textId="77777777" w:rsidR="00A91A22" w:rsidRPr="009F42F8" w:rsidRDefault="00A91A22" w:rsidP="00EB726B">
            <w:pPr>
              <w:spacing w:after="0"/>
              <w:ind w:left="720"/>
              <w:contextualSpacing/>
              <w:jc w:val="right"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,</w:t>
            </w:r>
            <w:r w:rsidRPr="009F42F8">
              <w:rPr>
                <w:rFonts w:ascii="Times New Roman" w:hAnsi="Times New Roman"/>
              </w:rPr>
              <w:t>000.00</w:t>
            </w:r>
          </w:p>
        </w:tc>
        <w:tc>
          <w:tcPr>
            <w:tcW w:w="885" w:type="pct"/>
          </w:tcPr>
          <w:p w14:paraId="0BF82428" w14:textId="77777777" w:rsidR="00A91A22" w:rsidRPr="009F42F8" w:rsidRDefault="00A91A22" w:rsidP="00EB726B">
            <w:pPr>
              <w:spacing w:after="0"/>
              <w:ind w:left="265"/>
              <w:contextualSpacing/>
              <w:jc w:val="right"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,</w:t>
            </w:r>
            <w:r w:rsidRPr="009F42F8">
              <w:rPr>
                <w:rFonts w:ascii="Times New Roman" w:hAnsi="Times New Roman"/>
              </w:rPr>
              <w:t xml:space="preserve">000.00 </w:t>
            </w:r>
          </w:p>
        </w:tc>
      </w:tr>
      <w:tr w:rsidR="00A91A22" w:rsidRPr="009F42F8" w14:paraId="15A81C22" w14:textId="77777777" w:rsidTr="00437284">
        <w:trPr>
          <w:trHeight w:val="408"/>
        </w:trPr>
        <w:tc>
          <w:tcPr>
            <w:tcW w:w="585" w:type="pct"/>
          </w:tcPr>
          <w:p w14:paraId="2AC8F69E" w14:textId="77777777" w:rsidR="00A91A22" w:rsidRPr="009F42F8" w:rsidRDefault="00A91A22" w:rsidP="00EB726B">
            <w:pPr>
              <w:spacing w:after="0"/>
              <w:ind w:left="-257"/>
              <w:contextualSpacing/>
              <w:jc w:val="center"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F</w:t>
            </w:r>
          </w:p>
        </w:tc>
        <w:tc>
          <w:tcPr>
            <w:tcW w:w="2549" w:type="pct"/>
          </w:tcPr>
          <w:p w14:paraId="7AA9D114" w14:textId="77777777" w:rsidR="00A91A22" w:rsidRPr="009F42F8" w:rsidRDefault="00A91A22" w:rsidP="00EB726B">
            <w:pPr>
              <w:spacing w:after="0"/>
              <w:contextualSpacing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Students and Alumni</w:t>
            </w:r>
            <w:r>
              <w:rPr>
                <w:rFonts w:ascii="Times New Roman" w:hAnsi="Times New Roman"/>
              </w:rPr>
              <w:t xml:space="preserve"> of NIFTEM-T </w:t>
            </w:r>
          </w:p>
        </w:tc>
        <w:tc>
          <w:tcPr>
            <w:tcW w:w="981" w:type="pct"/>
          </w:tcPr>
          <w:p w14:paraId="5FC6E99E" w14:textId="77777777" w:rsidR="00A91A22" w:rsidRPr="009F42F8" w:rsidRDefault="00A91A22" w:rsidP="00EB726B">
            <w:pPr>
              <w:spacing w:after="0"/>
              <w:ind w:left="720"/>
              <w:contextualSpacing/>
              <w:jc w:val="right"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NIL</w:t>
            </w:r>
          </w:p>
        </w:tc>
        <w:tc>
          <w:tcPr>
            <w:tcW w:w="885" w:type="pct"/>
          </w:tcPr>
          <w:p w14:paraId="6CFD4E41" w14:textId="77777777" w:rsidR="00A91A22" w:rsidRPr="009F42F8" w:rsidRDefault="00A91A22" w:rsidP="00EB726B">
            <w:pPr>
              <w:spacing w:after="0"/>
              <w:ind w:left="265"/>
              <w:contextualSpacing/>
              <w:jc w:val="right"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,</w:t>
            </w:r>
            <w:r w:rsidRPr="009F42F8">
              <w:rPr>
                <w:rFonts w:ascii="Times New Roman" w:hAnsi="Times New Roman"/>
              </w:rPr>
              <w:t xml:space="preserve">000.00 </w:t>
            </w:r>
          </w:p>
          <w:p w14:paraId="4CAFF71E" w14:textId="77777777" w:rsidR="00A91A22" w:rsidRPr="009F42F8" w:rsidRDefault="00A91A22" w:rsidP="00437284">
            <w:pPr>
              <w:spacing w:after="0"/>
              <w:contextualSpacing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(after one year)</w:t>
            </w:r>
          </w:p>
        </w:tc>
      </w:tr>
      <w:tr w:rsidR="00A91A22" w:rsidRPr="009F42F8" w14:paraId="12D7E735" w14:textId="77777777" w:rsidTr="00437284">
        <w:trPr>
          <w:trHeight w:val="408"/>
        </w:trPr>
        <w:tc>
          <w:tcPr>
            <w:tcW w:w="585" w:type="pct"/>
          </w:tcPr>
          <w:p w14:paraId="6D4BFCD8" w14:textId="77777777" w:rsidR="00A91A22" w:rsidRPr="009F42F8" w:rsidRDefault="00A91A22" w:rsidP="00EB726B">
            <w:pPr>
              <w:spacing w:after="0"/>
              <w:ind w:left="-2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</w:p>
        </w:tc>
        <w:tc>
          <w:tcPr>
            <w:tcW w:w="2549" w:type="pct"/>
          </w:tcPr>
          <w:p w14:paraId="172FE907" w14:textId="395222B4" w:rsidR="00A91A22" w:rsidRPr="00437284" w:rsidRDefault="00A91A22" w:rsidP="00437284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</w:rPr>
            </w:pPr>
            <w:r w:rsidRPr="00437284">
              <w:rPr>
                <w:rFonts w:ascii="Times New Roman" w:hAnsi="Times New Roman"/>
              </w:rPr>
              <w:t xml:space="preserve">Faculties/ students from other educational and research institutions </w:t>
            </w:r>
          </w:p>
          <w:p w14:paraId="240B5D14" w14:textId="77777777" w:rsidR="00A91A22" w:rsidRPr="00437284" w:rsidRDefault="00A91A22" w:rsidP="00437284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Times New Roman" w:hAnsi="Times New Roman"/>
              </w:rPr>
            </w:pPr>
            <w:r w:rsidRPr="00437284">
              <w:rPr>
                <w:rFonts w:ascii="Times New Roman" w:hAnsi="Times New Roman"/>
              </w:rPr>
              <w:t xml:space="preserve">(ii) Individuals directly using the Incubation service without training/ consultancies/ other </w:t>
            </w:r>
            <w:proofErr w:type="spellStart"/>
            <w:r w:rsidRPr="00437284">
              <w:rPr>
                <w:rFonts w:ascii="Times New Roman" w:hAnsi="Times New Roman"/>
              </w:rPr>
              <w:t>ToT</w:t>
            </w:r>
            <w:proofErr w:type="spellEnd"/>
            <w:r w:rsidRPr="00437284">
              <w:rPr>
                <w:rFonts w:ascii="Times New Roman" w:hAnsi="Times New Roman"/>
              </w:rPr>
              <w:t xml:space="preserve"> Services </w:t>
            </w:r>
          </w:p>
        </w:tc>
        <w:tc>
          <w:tcPr>
            <w:tcW w:w="981" w:type="pct"/>
          </w:tcPr>
          <w:p w14:paraId="62FE9032" w14:textId="77777777" w:rsidR="00A91A22" w:rsidRPr="009F42F8" w:rsidRDefault="00A91A22" w:rsidP="00EB726B">
            <w:pPr>
              <w:spacing w:after="0"/>
              <w:ind w:left="720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10,000.00</w:t>
            </w:r>
          </w:p>
        </w:tc>
        <w:tc>
          <w:tcPr>
            <w:tcW w:w="885" w:type="pct"/>
          </w:tcPr>
          <w:p w14:paraId="5AEEB663" w14:textId="77777777" w:rsidR="00A91A22" w:rsidRPr="009F42F8" w:rsidRDefault="00A91A22" w:rsidP="00EB726B">
            <w:pPr>
              <w:spacing w:after="0"/>
              <w:ind w:left="265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20,000.00</w:t>
            </w:r>
          </w:p>
        </w:tc>
      </w:tr>
      <w:tr w:rsidR="00437284" w:rsidRPr="009F42F8" w14:paraId="50D2029C" w14:textId="77777777" w:rsidTr="00437284">
        <w:trPr>
          <w:trHeight w:val="408"/>
        </w:trPr>
        <w:tc>
          <w:tcPr>
            <w:tcW w:w="585" w:type="pct"/>
          </w:tcPr>
          <w:p w14:paraId="1790CE2B" w14:textId="00854A8D" w:rsidR="00437284" w:rsidRDefault="00437284" w:rsidP="00437284">
            <w:pPr>
              <w:spacing w:after="0"/>
              <w:ind w:left="-257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</w:p>
        </w:tc>
        <w:tc>
          <w:tcPr>
            <w:tcW w:w="2549" w:type="pct"/>
          </w:tcPr>
          <w:p w14:paraId="022D9B26" w14:textId="77777777" w:rsidR="00437284" w:rsidRPr="00437284" w:rsidRDefault="00437284" w:rsidP="00437284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437284">
              <w:rPr>
                <w:rFonts w:ascii="Times New Roman" w:hAnsi="Times New Roman"/>
              </w:rPr>
              <w:t xml:space="preserve">NIFTEM-T Beneficiaries/ </w:t>
            </w:r>
            <w:proofErr w:type="spellStart"/>
            <w:r w:rsidRPr="00437284">
              <w:rPr>
                <w:rFonts w:ascii="Times New Roman" w:hAnsi="Times New Roman"/>
              </w:rPr>
              <w:t>Incubatees</w:t>
            </w:r>
            <w:proofErr w:type="spellEnd"/>
            <w:r w:rsidRPr="00437284">
              <w:rPr>
                <w:rFonts w:ascii="Times New Roman" w:hAnsi="Times New Roman"/>
              </w:rPr>
              <w:t xml:space="preserve"> </w:t>
            </w:r>
          </w:p>
          <w:p w14:paraId="2AA5A5AC" w14:textId="77777777" w:rsidR="00437284" w:rsidRPr="00437284" w:rsidRDefault="00437284" w:rsidP="00437284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437284">
              <w:rPr>
                <w:rFonts w:ascii="Times New Roman" w:hAnsi="Times New Roman"/>
              </w:rPr>
              <w:t>Availed institutional training more than 5 days</w:t>
            </w:r>
          </w:p>
          <w:p w14:paraId="1DD811A9" w14:textId="77777777" w:rsidR="00437284" w:rsidRPr="00437284" w:rsidRDefault="00437284" w:rsidP="00437284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437284">
              <w:rPr>
                <w:rFonts w:ascii="Times New Roman" w:hAnsi="Times New Roman"/>
              </w:rPr>
              <w:t xml:space="preserve">Registered candidates of TOT services/ consultancies </w:t>
            </w:r>
          </w:p>
          <w:p w14:paraId="294203CA" w14:textId="5990AA09" w:rsidR="00437284" w:rsidRPr="00437284" w:rsidRDefault="00437284" w:rsidP="00437284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</w:rPr>
            </w:pPr>
            <w:r w:rsidRPr="00437284">
              <w:rPr>
                <w:rFonts w:ascii="Times New Roman" w:hAnsi="Times New Roman"/>
              </w:rPr>
              <w:t>Completed SRP / Turn-key projects</w:t>
            </w:r>
          </w:p>
        </w:tc>
        <w:tc>
          <w:tcPr>
            <w:tcW w:w="981" w:type="pct"/>
          </w:tcPr>
          <w:p w14:paraId="649830C0" w14:textId="17EB61C4" w:rsidR="00437284" w:rsidRDefault="00437284" w:rsidP="00437284">
            <w:pPr>
              <w:spacing w:after="0"/>
              <w:ind w:left="720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NIL</w:t>
            </w:r>
          </w:p>
        </w:tc>
        <w:tc>
          <w:tcPr>
            <w:tcW w:w="885" w:type="pct"/>
          </w:tcPr>
          <w:p w14:paraId="3C1264F6" w14:textId="77777777" w:rsidR="00437284" w:rsidRPr="009F42F8" w:rsidRDefault="00437284" w:rsidP="00437284">
            <w:pPr>
              <w:spacing w:after="0"/>
              <w:contextualSpacing/>
              <w:jc w:val="right"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 xml:space="preserve">5000.00 </w:t>
            </w:r>
          </w:p>
          <w:p w14:paraId="3D9323D2" w14:textId="28B7F328" w:rsidR="00437284" w:rsidRDefault="00437284" w:rsidP="00437284">
            <w:pPr>
              <w:spacing w:after="0"/>
              <w:contextualSpacing/>
              <w:rPr>
                <w:rFonts w:ascii="Times New Roman" w:hAnsi="Times New Roman"/>
              </w:rPr>
            </w:pPr>
            <w:r w:rsidRPr="009F42F8">
              <w:rPr>
                <w:rFonts w:ascii="Times New Roman" w:hAnsi="Times New Roman"/>
              </w:rPr>
              <w:t>(after one year)</w:t>
            </w:r>
          </w:p>
        </w:tc>
      </w:tr>
    </w:tbl>
    <w:p w14:paraId="19828095" w14:textId="1F64CAAB" w:rsidR="00940C9C" w:rsidRPr="00437284" w:rsidRDefault="00940C9C" w:rsidP="004372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7284">
        <w:rPr>
          <w:rFonts w:ascii="Times New Roman" w:hAnsi="Times New Roman" w:cs="Times New Roman"/>
          <w:b/>
          <w:sz w:val="24"/>
          <w:szCs w:val="24"/>
        </w:rPr>
        <w:t>Note:</w:t>
      </w:r>
      <w:r w:rsidRPr="004372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25D735" w14:textId="77777777" w:rsidR="00A939F2" w:rsidRPr="00940C9C" w:rsidRDefault="00A939F2" w:rsidP="00EB726B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0C9C">
        <w:rPr>
          <w:rFonts w:ascii="Times New Roman" w:hAnsi="Times New Roman"/>
          <w:sz w:val="24"/>
          <w:szCs w:val="24"/>
        </w:rPr>
        <w:t>Incubatees</w:t>
      </w:r>
      <w:proofErr w:type="spellEnd"/>
      <w:r w:rsidRPr="00940C9C">
        <w:rPr>
          <w:rFonts w:ascii="Times New Roman" w:hAnsi="Times New Roman"/>
          <w:sz w:val="24"/>
          <w:szCs w:val="24"/>
        </w:rPr>
        <w:t xml:space="preserve"> should bring </w:t>
      </w:r>
      <w:r>
        <w:rPr>
          <w:rFonts w:ascii="Times New Roman" w:hAnsi="Times New Roman"/>
          <w:sz w:val="24"/>
          <w:szCs w:val="24"/>
        </w:rPr>
        <w:t>their own raw materials, workforce and must be familiar with their own product formulations and process conditions.</w:t>
      </w:r>
    </w:p>
    <w:p w14:paraId="72C17750" w14:textId="2052B5B9" w:rsidR="00747746" w:rsidRPr="00401A03" w:rsidRDefault="00747746" w:rsidP="00EB726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01A03">
        <w:rPr>
          <w:rFonts w:ascii="Times New Roman" w:hAnsi="Times New Roman" w:cs="Times New Roman"/>
          <w:bCs/>
          <w:sz w:val="24"/>
          <w:szCs w:val="24"/>
        </w:rPr>
        <w:t xml:space="preserve">User charges will be as per the approved institute rates and will be revised </w:t>
      </w:r>
      <w:r w:rsidR="008E270B" w:rsidRPr="00401A03">
        <w:rPr>
          <w:rFonts w:ascii="Times New Roman" w:hAnsi="Times New Roman" w:cs="Times New Roman"/>
          <w:bCs/>
          <w:sz w:val="24"/>
          <w:szCs w:val="24"/>
        </w:rPr>
        <w:t>periodically.</w:t>
      </w:r>
      <w:r w:rsidRPr="00401A0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8C802F" w14:textId="60F132AB" w:rsidR="008E270B" w:rsidRPr="00940C9C" w:rsidRDefault="008E270B" w:rsidP="00EB726B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0C9C">
        <w:rPr>
          <w:rFonts w:ascii="Times New Roman" w:hAnsi="Times New Roman" w:cs="Times New Roman"/>
          <w:bCs/>
          <w:sz w:val="24"/>
          <w:szCs w:val="24"/>
        </w:rPr>
        <w:t>Services will be scheduled based on the availability of processing lines and on first come   first serve basis.</w:t>
      </w:r>
    </w:p>
    <w:p w14:paraId="5215F6B7" w14:textId="760D2693" w:rsidR="00094709" w:rsidRPr="00FB08EA" w:rsidRDefault="00FB08EA" w:rsidP="00EB72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***************</w:t>
      </w:r>
    </w:p>
    <w:sectPr w:rsidR="00094709" w:rsidRPr="00FB08EA" w:rsidSect="000F0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037"/>
    <w:multiLevelType w:val="hybridMultilevel"/>
    <w:tmpl w:val="1DAA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F1C64"/>
    <w:multiLevelType w:val="hybridMultilevel"/>
    <w:tmpl w:val="D4122DB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85356"/>
    <w:multiLevelType w:val="hybridMultilevel"/>
    <w:tmpl w:val="A9269E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3DE"/>
    <w:multiLevelType w:val="hybridMultilevel"/>
    <w:tmpl w:val="0D1C37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52D9A"/>
    <w:multiLevelType w:val="hybridMultilevel"/>
    <w:tmpl w:val="42A66C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96236"/>
    <w:multiLevelType w:val="hybridMultilevel"/>
    <w:tmpl w:val="A802EBF6"/>
    <w:lvl w:ilvl="0" w:tplc="5E1A786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D7A36"/>
    <w:multiLevelType w:val="hybridMultilevel"/>
    <w:tmpl w:val="6B82D6E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65734"/>
    <w:multiLevelType w:val="hybridMultilevel"/>
    <w:tmpl w:val="68666F1A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543C23"/>
    <w:multiLevelType w:val="hybridMultilevel"/>
    <w:tmpl w:val="8B9C7AEC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102527"/>
    <w:multiLevelType w:val="hybridMultilevel"/>
    <w:tmpl w:val="1DFE0C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D7F98"/>
    <w:multiLevelType w:val="hybridMultilevel"/>
    <w:tmpl w:val="5B5C63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443EC"/>
    <w:multiLevelType w:val="hybridMultilevel"/>
    <w:tmpl w:val="0D06F310"/>
    <w:lvl w:ilvl="0" w:tplc="90CC626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C72357"/>
    <w:multiLevelType w:val="hybridMultilevel"/>
    <w:tmpl w:val="E346B6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47686C"/>
    <w:multiLevelType w:val="hybridMultilevel"/>
    <w:tmpl w:val="AA40DDD4"/>
    <w:lvl w:ilvl="0" w:tplc="40090019">
      <w:start w:val="1"/>
      <w:numFmt w:val="lowerLetter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DB503A"/>
    <w:multiLevelType w:val="hybridMultilevel"/>
    <w:tmpl w:val="ED903C42"/>
    <w:lvl w:ilvl="0" w:tplc="90CC626A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68137350"/>
    <w:multiLevelType w:val="hybridMultilevel"/>
    <w:tmpl w:val="0D7CB5F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2C3602"/>
    <w:multiLevelType w:val="hybridMultilevel"/>
    <w:tmpl w:val="2C120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E4D05"/>
    <w:multiLevelType w:val="hybridMultilevel"/>
    <w:tmpl w:val="E27E8F5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16"/>
  </w:num>
  <w:num w:numId="5">
    <w:abstractNumId w:val="4"/>
  </w:num>
  <w:num w:numId="6">
    <w:abstractNumId w:val="9"/>
  </w:num>
  <w:num w:numId="7">
    <w:abstractNumId w:val="8"/>
  </w:num>
  <w:num w:numId="8">
    <w:abstractNumId w:val="14"/>
  </w:num>
  <w:num w:numId="9">
    <w:abstractNumId w:val="6"/>
  </w:num>
  <w:num w:numId="10">
    <w:abstractNumId w:val="3"/>
  </w:num>
  <w:num w:numId="11">
    <w:abstractNumId w:val="10"/>
  </w:num>
  <w:num w:numId="12">
    <w:abstractNumId w:val="12"/>
  </w:num>
  <w:num w:numId="13">
    <w:abstractNumId w:val="15"/>
  </w:num>
  <w:num w:numId="14">
    <w:abstractNumId w:val="17"/>
  </w:num>
  <w:num w:numId="15">
    <w:abstractNumId w:val="1"/>
  </w:num>
  <w:num w:numId="16">
    <w:abstractNumId w:val="13"/>
  </w:num>
  <w:num w:numId="17">
    <w:abstractNumId w:val="1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E43"/>
    <w:rsid w:val="000607BD"/>
    <w:rsid w:val="00082E43"/>
    <w:rsid w:val="00094709"/>
    <w:rsid w:val="000C0EAB"/>
    <w:rsid w:val="000D2104"/>
    <w:rsid w:val="000F0858"/>
    <w:rsid w:val="001358D6"/>
    <w:rsid w:val="0019012D"/>
    <w:rsid w:val="0019521B"/>
    <w:rsid w:val="001A6AFC"/>
    <w:rsid w:val="00211A32"/>
    <w:rsid w:val="00254050"/>
    <w:rsid w:val="00270D40"/>
    <w:rsid w:val="00270D5F"/>
    <w:rsid w:val="00271E7C"/>
    <w:rsid w:val="002C071E"/>
    <w:rsid w:val="003031C9"/>
    <w:rsid w:val="00353977"/>
    <w:rsid w:val="00401A03"/>
    <w:rsid w:val="00404834"/>
    <w:rsid w:val="004351D0"/>
    <w:rsid w:val="00437284"/>
    <w:rsid w:val="00477C20"/>
    <w:rsid w:val="004803AD"/>
    <w:rsid w:val="00486AA7"/>
    <w:rsid w:val="004A0380"/>
    <w:rsid w:val="004A572B"/>
    <w:rsid w:val="004F3583"/>
    <w:rsid w:val="00510A3D"/>
    <w:rsid w:val="005916F6"/>
    <w:rsid w:val="005B6C30"/>
    <w:rsid w:val="005F27C6"/>
    <w:rsid w:val="006250AD"/>
    <w:rsid w:val="0064049A"/>
    <w:rsid w:val="00654EB8"/>
    <w:rsid w:val="006754BE"/>
    <w:rsid w:val="006A6503"/>
    <w:rsid w:val="006F753E"/>
    <w:rsid w:val="00725D5B"/>
    <w:rsid w:val="00747746"/>
    <w:rsid w:val="007542A4"/>
    <w:rsid w:val="00770A04"/>
    <w:rsid w:val="007B0D1A"/>
    <w:rsid w:val="007C49C9"/>
    <w:rsid w:val="007C5AC8"/>
    <w:rsid w:val="008347A5"/>
    <w:rsid w:val="008364BF"/>
    <w:rsid w:val="00872B77"/>
    <w:rsid w:val="008D0B33"/>
    <w:rsid w:val="008E270B"/>
    <w:rsid w:val="00914F35"/>
    <w:rsid w:val="00940C9C"/>
    <w:rsid w:val="00987FA6"/>
    <w:rsid w:val="009B7B02"/>
    <w:rsid w:val="009F529B"/>
    <w:rsid w:val="009F733B"/>
    <w:rsid w:val="00A86325"/>
    <w:rsid w:val="00A91A22"/>
    <w:rsid w:val="00A939F2"/>
    <w:rsid w:val="00AB5F17"/>
    <w:rsid w:val="00AC1D35"/>
    <w:rsid w:val="00AD4A65"/>
    <w:rsid w:val="00B0383C"/>
    <w:rsid w:val="00B300A7"/>
    <w:rsid w:val="00B55198"/>
    <w:rsid w:val="00B61127"/>
    <w:rsid w:val="00B97A82"/>
    <w:rsid w:val="00C03E81"/>
    <w:rsid w:val="00C0727E"/>
    <w:rsid w:val="00C30C15"/>
    <w:rsid w:val="00C47BD6"/>
    <w:rsid w:val="00C7705C"/>
    <w:rsid w:val="00C80789"/>
    <w:rsid w:val="00C941F3"/>
    <w:rsid w:val="00CC398F"/>
    <w:rsid w:val="00CC7F5B"/>
    <w:rsid w:val="00CD5055"/>
    <w:rsid w:val="00D01B71"/>
    <w:rsid w:val="00D0230A"/>
    <w:rsid w:val="00D52785"/>
    <w:rsid w:val="00D7054E"/>
    <w:rsid w:val="00D70EEB"/>
    <w:rsid w:val="00DC4A02"/>
    <w:rsid w:val="00DE1181"/>
    <w:rsid w:val="00E73463"/>
    <w:rsid w:val="00EB726B"/>
    <w:rsid w:val="00EC22BE"/>
    <w:rsid w:val="00F51D87"/>
    <w:rsid w:val="00F771D8"/>
    <w:rsid w:val="00FA720B"/>
    <w:rsid w:val="00FB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5CD86"/>
  <w15:docId w15:val="{5CC0F7C9-39D1-406D-A196-4C3804F1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D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2E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82E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C3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A6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AF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B3998-0AF3-4D80-9C89-B15D12EC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FPBIC</dc:creator>
  <cp:lastModifiedBy>Incubation centre</cp:lastModifiedBy>
  <cp:revision>4</cp:revision>
  <cp:lastPrinted>2023-07-28T05:54:00Z</cp:lastPrinted>
  <dcterms:created xsi:type="dcterms:W3CDTF">2023-07-28T05:54:00Z</dcterms:created>
  <dcterms:modified xsi:type="dcterms:W3CDTF">2025-10-15T07:57:00Z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ddbee8b1e031e4b419edb494ff735f4847a289874c45b067c1bdc3c9ac6ba350</vt:lpwstr>
  </property>
</Properties>
</file>